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4BAE" w:rsidRDefault="00004BAE" w:rsidP="00004BAE">
      <w:pPr>
        <w:tabs>
          <w:tab w:val="left" w:pos="567"/>
        </w:tabs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ЛЕКЦИЯ 6. </w:t>
      </w:r>
      <w:r w:rsidRPr="00004BAE">
        <w:rPr>
          <w:rFonts w:ascii="Times New Roman" w:hAnsi="Times New Roman"/>
          <w:sz w:val="28"/>
          <w:szCs w:val="28"/>
        </w:rPr>
        <w:t>ЩИТЫ ВВОДНО-РАСПРЕДЕЛИТЕЛЬНЫЕ ДЛЯ МЕД.ПОМЕЩЕНИЙ</w:t>
      </w:r>
    </w:p>
    <w:p w:rsidR="00004BAE" w:rsidRPr="00004BAE" w:rsidRDefault="00004BAE" w:rsidP="00004BAE">
      <w:pPr>
        <w:tabs>
          <w:tab w:val="left" w:pos="567"/>
        </w:tabs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</w:p>
    <w:p w:rsidR="00004BAE" w:rsidRPr="00004BAE" w:rsidRDefault="00004BAE" w:rsidP="00004BAE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04BAE">
        <w:rPr>
          <w:rFonts w:ascii="Times New Roman" w:hAnsi="Times New Roman"/>
          <w:sz w:val="28"/>
          <w:szCs w:val="28"/>
        </w:rPr>
        <w:t>Вводно-распределительное устройство</w:t>
      </w:r>
    </w:p>
    <w:p w:rsidR="00004BAE" w:rsidRPr="00004BAE" w:rsidRDefault="00004BAE" w:rsidP="00004BAE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04BAE">
        <w:rPr>
          <w:rFonts w:ascii="Times New Roman" w:hAnsi="Times New Roman"/>
          <w:sz w:val="28"/>
          <w:szCs w:val="28"/>
        </w:rPr>
        <w:t xml:space="preserve">Вводно-распределительное устройство предназначено для ввода, учета и распределения электрической энергии трехфазного переменного тока частоты 50 Гц напряжением 380 В </w:t>
      </w:r>
      <w:proofErr w:type="spellStart"/>
      <w:r w:rsidRPr="00004BAE">
        <w:rPr>
          <w:rFonts w:ascii="Times New Roman" w:hAnsi="Times New Roman"/>
          <w:sz w:val="28"/>
          <w:szCs w:val="28"/>
        </w:rPr>
        <w:t>в</w:t>
      </w:r>
      <w:proofErr w:type="spellEnd"/>
      <w:r w:rsidRPr="00004BAE">
        <w:rPr>
          <w:rFonts w:ascii="Times New Roman" w:hAnsi="Times New Roman"/>
          <w:sz w:val="28"/>
          <w:szCs w:val="28"/>
        </w:rPr>
        <w:t xml:space="preserve"> жилых и общественных зданиях. Устройство обеспечивает защиту линии электроснабжения объекта от перегрузок, коротких замыканий, аварий входящий линий и позволяет выполнять до трёх оперативных коммутаций в час. ВРУ размещается в отдельном специализированном помещении (</w:t>
      </w:r>
      <w:proofErr w:type="spellStart"/>
      <w:r w:rsidRPr="00004BAE">
        <w:rPr>
          <w:rFonts w:ascii="Times New Roman" w:hAnsi="Times New Roman"/>
          <w:sz w:val="28"/>
          <w:szCs w:val="28"/>
        </w:rPr>
        <w:t>электрощитовой</w:t>
      </w:r>
      <w:proofErr w:type="spellEnd"/>
      <w:r w:rsidRPr="00004BAE">
        <w:rPr>
          <w:rFonts w:ascii="Times New Roman" w:hAnsi="Times New Roman"/>
          <w:sz w:val="28"/>
          <w:szCs w:val="28"/>
        </w:rPr>
        <w:t>), оборудованном согласно требованиям ПУЭ.</w:t>
      </w:r>
    </w:p>
    <w:p w:rsidR="00004BAE" w:rsidRPr="00004BAE" w:rsidRDefault="00004BAE" w:rsidP="00004BAE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04BAE">
        <w:rPr>
          <w:rFonts w:ascii="Times New Roman" w:hAnsi="Times New Roman"/>
          <w:sz w:val="28"/>
          <w:szCs w:val="28"/>
        </w:rPr>
        <w:t>Проектирование ВРУ для медицинских учреждений имеет специфику. Наиболее важный момент - отражение в конструкции ВРУ деление потребителей электрической энергии на группы согласно ГОСТ 50571.28-2006. Энергоснабжение потребителей Гр1 и Гр2 рекомендуется выполнять от специальных линий, изначально выделенных только под эту задачу. Систему АВР медицинских разделительных трансформаторов необходимо подключать не менее, чем к двум независимым секциям ВРУ, для гарантирования бесперебойного энергоснабжения при аварии одной из секций.</w:t>
      </w:r>
    </w:p>
    <w:p w:rsidR="00004BAE" w:rsidRPr="00004BAE" w:rsidRDefault="00004BAE" w:rsidP="00004BAE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04BAE">
        <w:rPr>
          <w:rFonts w:ascii="Times New Roman" w:hAnsi="Times New Roman"/>
          <w:sz w:val="28"/>
          <w:szCs w:val="28"/>
        </w:rPr>
        <w:t>Таким образом, обеспечивается повышение надежности электроснабжения важного оборудования, снижается вероятность аварий линий и снижается уровень помех в наиболее ответственной части электросети. Одновременно упрощается обслуживание электроустановки персоналом, поскольку появляется четкое деление панелей ВРУ согласно группам потребителей. Для удобства мы приводим практические примеры схем ВРУ с панелями АВР:</w:t>
      </w:r>
    </w:p>
    <w:p w:rsidR="00004BAE" w:rsidRPr="00004BAE" w:rsidRDefault="00004BAE" w:rsidP="00004BAE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04BAE">
        <w:rPr>
          <w:rFonts w:ascii="Times New Roman" w:hAnsi="Times New Roman"/>
          <w:sz w:val="28"/>
          <w:szCs w:val="28"/>
        </w:rPr>
        <w:lastRenderedPageBreak/>
        <w:drawing>
          <wp:inline distT="0" distB="0" distL="0" distR="0" wp14:anchorId="0C73F6C2" wp14:editId="1FF87387">
            <wp:extent cx="5638800" cy="6343650"/>
            <wp:effectExtent l="0" t="0" r="0" b="0"/>
            <wp:docPr id="1" name="Рисунок 6" descr="Энергосберегающие системы. Рекомендаци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Энергосберегающие системы. Рекомендации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634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04BAE">
        <w:rPr>
          <w:rFonts w:ascii="Times New Roman" w:hAnsi="Times New Roman"/>
          <w:sz w:val="28"/>
          <w:szCs w:val="28"/>
        </w:rPr>
        <w:t> </w:t>
      </w:r>
    </w:p>
    <w:p w:rsidR="00004BAE" w:rsidRPr="00004BAE" w:rsidRDefault="00004BAE" w:rsidP="00004BAE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Рис. 1</w:t>
      </w:r>
      <w:r w:rsidRPr="00004BAE">
        <w:rPr>
          <w:rFonts w:ascii="Times New Roman" w:hAnsi="Times New Roman"/>
          <w:sz w:val="28"/>
          <w:szCs w:val="28"/>
        </w:rPr>
        <w:t>. Вариант организации ВРУ с двумя вводами для питания потребителей первой и второй категорий от секций 1 и 2</w:t>
      </w:r>
    </w:p>
    <w:p w:rsidR="00004BAE" w:rsidRPr="00004BAE" w:rsidRDefault="00004BAE" w:rsidP="00004BAE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04BAE">
        <w:rPr>
          <w:rFonts w:ascii="Times New Roman" w:hAnsi="Times New Roman"/>
          <w:sz w:val="28"/>
          <w:szCs w:val="28"/>
        </w:rPr>
        <w:lastRenderedPageBreak/>
        <w:t> </w:t>
      </w:r>
      <w:r w:rsidRPr="00004BAE">
        <w:rPr>
          <w:rFonts w:ascii="Times New Roman" w:hAnsi="Times New Roman"/>
          <w:sz w:val="28"/>
          <w:szCs w:val="28"/>
        </w:rPr>
        <w:drawing>
          <wp:inline distT="0" distB="0" distL="0" distR="0" wp14:anchorId="57CE3423" wp14:editId="0D9587DE">
            <wp:extent cx="5514975" cy="5095875"/>
            <wp:effectExtent l="0" t="0" r="9525" b="9525"/>
            <wp:docPr id="2" name="Рисунок 5" descr="Энергосберегающие системы. Рекомендаци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Энергосберегающие системы. Рекомендации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509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4BAE" w:rsidRPr="00004BAE" w:rsidRDefault="00004BAE" w:rsidP="00004BAE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04BAE">
        <w:rPr>
          <w:rFonts w:ascii="Times New Roman" w:hAnsi="Times New Roman"/>
          <w:sz w:val="28"/>
          <w:szCs w:val="28"/>
        </w:rPr>
        <w:t xml:space="preserve">Рис. </w:t>
      </w:r>
      <w:r>
        <w:rPr>
          <w:rFonts w:ascii="Times New Roman" w:hAnsi="Times New Roman"/>
          <w:sz w:val="28"/>
          <w:szCs w:val="28"/>
        </w:rPr>
        <w:t>2</w:t>
      </w:r>
      <w:r w:rsidRPr="00004BAE">
        <w:rPr>
          <w:rFonts w:ascii="Times New Roman" w:hAnsi="Times New Roman"/>
          <w:sz w:val="28"/>
          <w:szCs w:val="28"/>
        </w:rPr>
        <w:t>. Вариант организации ВРУ с двумя вводами для питания потребителей от секций 1 и 2</w:t>
      </w:r>
    </w:p>
    <w:p w:rsidR="00004BAE" w:rsidRPr="00004BAE" w:rsidRDefault="00004BAE" w:rsidP="00004BAE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04BAE">
        <w:rPr>
          <w:rFonts w:ascii="Times New Roman" w:hAnsi="Times New Roman"/>
          <w:sz w:val="28"/>
          <w:szCs w:val="28"/>
        </w:rPr>
        <w:t>В приведенных практических примерах схем ВРУ с панелями АВР из проектов для медицинских учреждений подключение АВР медицинских трансформаторов выполнялось к секциям 1 и 2.</w:t>
      </w:r>
    </w:p>
    <w:p w:rsidR="00004BAE" w:rsidRPr="00004BAE" w:rsidRDefault="00004BAE" w:rsidP="00004BAE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04BAE">
        <w:rPr>
          <w:rFonts w:ascii="Times New Roman" w:hAnsi="Times New Roman"/>
          <w:sz w:val="28"/>
          <w:szCs w:val="28"/>
        </w:rPr>
        <w:t>Главный распределительный щит</w:t>
      </w:r>
    </w:p>
    <w:p w:rsidR="00004BAE" w:rsidRPr="00004BAE" w:rsidRDefault="00004BAE" w:rsidP="00004BAE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04BAE">
        <w:rPr>
          <w:rFonts w:ascii="Times New Roman" w:hAnsi="Times New Roman"/>
          <w:sz w:val="28"/>
          <w:szCs w:val="28"/>
        </w:rPr>
        <w:t xml:space="preserve">Главный распределительный щит ГРЩ предназначен для распределения электрической энергии напряжением 380 В трехфазного переменного тока частоты 50 Гц в жилых и общественных зданиях в сетях с </w:t>
      </w:r>
      <w:proofErr w:type="spellStart"/>
      <w:r w:rsidRPr="00004BAE">
        <w:rPr>
          <w:rFonts w:ascii="Times New Roman" w:hAnsi="Times New Roman"/>
          <w:sz w:val="28"/>
          <w:szCs w:val="28"/>
        </w:rPr>
        <w:t>глухозаземленной</w:t>
      </w:r>
      <w:proofErr w:type="spellEnd"/>
      <w:r w:rsidRPr="00004BA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04BAE">
        <w:rPr>
          <w:rFonts w:ascii="Times New Roman" w:hAnsi="Times New Roman"/>
          <w:sz w:val="28"/>
          <w:szCs w:val="28"/>
        </w:rPr>
        <w:t>нейтралью</w:t>
      </w:r>
      <w:proofErr w:type="spellEnd"/>
      <w:r w:rsidRPr="00004BAE">
        <w:rPr>
          <w:rFonts w:ascii="Times New Roman" w:hAnsi="Times New Roman"/>
          <w:sz w:val="28"/>
          <w:szCs w:val="28"/>
        </w:rPr>
        <w:t>. ГРЩ защищает линий электроснабжения от перегрузок и замыканий. Главный распределительный щит устанавливается в помещении (</w:t>
      </w:r>
      <w:proofErr w:type="spellStart"/>
      <w:r w:rsidRPr="00004BAE">
        <w:rPr>
          <w:rFonts w:ascii="Times New Roman" w:hAnsi="Times New Roman"/>
          <w:sz w:val="28"/>
          <w:szCs w:val="28"/>
        </w:rPr>
        <w:t>электрощитовой</w:t>
      </w:r>
      <w:proofErr w:type="spellEnd"/>
      <w:r w:rsidRPr="00004BAE">
        <w:rPr>
          <w:rFonts w:ascii="Times New Roman" w:hAnsi="Times New Roman"/>
          <w:sz w:val="28"/>
          <w:szCs w:val="28"/>
        </w:rPr>
        <w:t>), оборудованном согласно нормам. ГРЩ выполняется в одном или нескольких шкафах в зависимости от схемы и значения рабочего тока.</w:t>
      </w:r>
    </w:p>
    <w:p w:rsidR="00004BAE" w:rsidRPr="00004BAE" w:rsidRDefault="00004BAE" w:rsidP="00004BAE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04BAE">
        <w:rPr>
          <w:rFonts w:ascii="Times New Roman" w:hAnsi="Times New Roman"/>
          <w:sz w:val="28"/>
          <w:szCs w:val="28"/>
        </w:rPr>
        <w:t xml:space="preserve">Так же в состав ГРЩ при необходимости включают панели аварийного ввода резерва (АВР) на два или три ввода. Панели АВР устанавливаются в </w:t>
      </w:r>
      <w:r w:rsidRPr="00004BAE">
        <w:rPr>
          <w:rFonts w:ascii="Times New Roman" w:hAnsi="Times New Roman"/>
          <w:sz w:val="28"/>
          <w:szCs w:val="28"/>
        </w:rPr>
        <w:lastRenderedPageBreak/>
        <w:t>медицинских учреждениях у потребителей Гр1 и Гр2, не допускающих перерывов в электроснабжении. Для потребителей первой группы устанавливают панель АВР с тремя вводами: основной ввод, резервный и ввод от дизель-генераторной станции, либо от источника бесперебойного питания ИБП. Таким образом, при отключении основного ввода панель АВР в ГРЩ переключается на резервный, а при потере резервного ввода - запускает дизель-генератор или подключает ИБП, чем достигается практически полная автономность электроснабжения.</w:t>
      </w:r>
    </w:p>
    <w:p w:rsidR="00004BAE" w:rsidRPr="00004BAE" w:rsidRDefault="00004BAE" w:rsidP="00004BAE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04BAE">
        <w:rPr>
          <w:rFonts w:ascii="Times New Roman" w:hAnsi="Times New Roman"/>
          <w:sz w:val="28"/>
          <w:szCs w:val="28"/>
        </w:rPr>
        <w:t>Щит аварийного ввода резерва</w:t>
      </w:r>
    </w:p>
    <w:p w:rsidR="00004BAE" w:rsidRPr="00004BAE" w:rsidRDefault="00004BAE" w:rsidP="00004BAE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04BAE">
        <w:rPr>
          <w:rFonts w:ascii="Times New Roman" w:hAnsi="Times New Roman"/>
          <w:sz w:val="28"/>
          <w:szCs w:val="28"/>
        </w:rPr>
        <w:t>Щит автоматического ввода резерва (АВР) предназначен для работы в цепях 380 В трехфазного переменного тока частоты 50 Гц и цепях 220 В однофазного переменного тока частоты 50 Гц для автоматического переключения нагрузки на резервный ввод электроснабжения в случае аварии по основному вводу.</w:t>
      </w:r>
    </w:p>
    <w:p w:rsidR="00004BAE" w:rsidRPr="00004BAE" w:rsidRDefault="00004BAE" w:rsidP="00004BAE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04BAE">
        <w:rPr>
          <w:rFonts w:ascii="Times New Roman" w:hAnsi="Times New Roman"/>
          <w:sz w:val="28"/>
          <w:szCs w:val="28"/>
        </w:rPr>
        <w:t>В основе системы управления АВР устанавливают микропроцессорные реле контроля фаз ведущих производителей с возможностью настройки параметров. Реле осуществляют контроль входного трехфазного напряжения по каждому вводу по параметрам:</w:t>
      </w:r>
    </w:p>
    <w:p w:rsidR="00004BAE" w:rsidRPr="00004BAE" w:rsidRDefault="00004BAE" w:rsidP="00004BAE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04BAE">
        <w:rPr>
          <w:rFonts w:ascii="Times New Roman" w:hAnsi="Times New Roman"/>
          <w:sz w:val="28"/>
          <w:szCs w:val="28"/>
        </w:rPr>
        <w:t>- величина напряжения по фазам должна находиться в заданном коридоре (минимум/максимум);</w:t>
      </w:r>
    </w:p>
    <w:p w:rsidR="00004BAE" w:rsidRPr="00004BAE" w:rsidRDefault="00004BAE" w:rsidP="00004BAE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04BAE">
        <w:rPr>
          <w:rFonts w:ascii="Times New Roman" w:hAnsi="Times New Roman"/>
          <w:sz w:val="28"/>
          <w:szCs w:val="28"/>
        </w:rPr>
        <w:t>- контроль обрыва любой из фаз;</w:t>
      </w:r>
    </w:p>
    <w:p w:rsidR="00004BAE" w:rsidRPr="00004BAE" w:rsidRDefault="00004BAE" w:rsidP="00004BAE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04BAE">
        <w:rPr>
          <w:rFonts w:ascii="Times New Roman" w:hAnsi="Times New Roman"/>
          <w:sz w:val="28"/>
          <w:szCs w:val="28"/>
        </w:rPr>
        <w:t xml:space="preserve">- контроль обрыва </w:t>
      </w:r>
      <w:proofErr w:type="spellStart"/>
      <w:r w:rsidRPr="00004BAE">
        <w:rPr>
          <w:rFonts w:ascii="Times New Roman" w:hAnsi="Times New Roman"/>
          <w:sz w:val="28"/>
          <w:szCs w:val="28"/>
        </w:rPr>
        <w:t>нейтрали</w:t>
      </w:r>
      <w:proofErr w:type="spellEnd"/>
      <w:r w:rsidRPr="00004BAE">
        <w:rPr>
          <w:rFonts w:ascii="Times New Roman" w:hAnsi="Times New Roman"/>
          <w:sz w:val="28"/>
          <w:szCs w:val="28"/>
        </w:rPr>
        <w:t>;</w:t>
      </w:r>
    </w:p>
    <w:p w:rsidR="00004BAE" w:rsidRPr="00004BAE" w:rsidRDefault="00004BAE" w:rsidP="00004BAE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04BAE">
        <w:rPr>
          <w:rFonts w:ascii="Times New Roman" w:hAnsi="Times New Roman"/>
          <w:sz w:val="28"/>
          <w:szCs w:val="28"/>
        </w:rPr>
        <w:t>- контроль правильности чередования фаз.</w:t>
      </w:r>
    </w:p>
    <w:p w:rsidR="00004BAE" w:rsidRPr="00004BAE" w:rsidRDefault="00004BAE" w:rsidP="00004BAE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04BAE">
        <w:rPr>
          <w:rFonts w:ascii="Times New Roman" w:hAnsi="Times New Roman"/>
          <w:sz w:val="28"/>
          <w:szCs w:val="28"/>
        </w:rPr>
        <w:t>При несоответствии электропитания заданным параметрам (отклонение более 10% по ГОСТ 50571.28-2006) по основному вводу и наличии нормы питания по резервному вводу, АВР переключает нагрузку на резервный ввод, согласно требованиям ГОСТ 50571.28-2006 к электроснабжению потребителей соответствующей группы. При восстановления качества питания по основному вводу в течении заданного времени происходит обратное переключение.</w:t>
      </w:r>
    </w:p>
    <w:p w:rsidR="00004BAE" w:rsidRPr="00004BAE" w:rsidRDefault="00004BAE" w:rsidP="00004BAE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04BAE">
        <w:rPr>
          <w:rFonts w:ascii="Times New Roman" w:hAnsi="Times New Roman"/>
          <w:sz w:val="28"/>
          <w:szCs w:val="28"/>
        </w:rPr>
        <w:t>Для потребителей первой категории (медицинских учреждений, производств непрерывного цикла) устанавливают АВР не менее чем с тремя вводами (основной ввод, резервный ввод и ввод от ИБП, либо от дизель-генератора горячего резерва).</w:t>
      </w:r>
    </w:p>
    <w:p w:rsidR="00004BAE" w:rsidRPr="00004BAE" w:rsidRDefault="00004BAE" w:rsidP="00004BAE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04BAE">
        <w:rPr>
          <w:rFonts w:ascii="Times New Roman" w:hAnsi="Times New Roman"/>
          <w:sz w:val="28"/>
          <w:szCs w:val="28"/>
        </w:rPr>
        <w:t>В приведенном ниже практическом примере показано подключение медицинской IT системы к общей системе электроснабжения с вводом от двух независимых секций ВРУ и дизель-генераторной станции. Управление дизель-генераторной станцией и коммутация линии осуществляется панелью АВР.</w:t>
      </w:r>
    </w:p>
    <w:p w:rsidR="00004BAE" w:rsidRPr="00004BAE" w:rsidRDefault="00004BAE" w:rsidP="00004BAE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04BAE">
        <w:rPr>
          <w:rFonts w:ascii="Times New Roman" w:hAnsi="Times New Roman"/>
          <w:sz w:val="28"/>
          <w:szCs w:val="28"/>
        </w:rPr>
        <w:lastRenderedPageBreak/>
        <w:t> </w:t>
      </w:r>
      <w:r w:rsidRPr="00004BAE">
        <w:rPr>
          <w:rFonts w:ascii="Times New Roman" w:hAnsi="Times New Roman"/>
          <w:sz w:val="28"/>
          <w:szCs w:val="28"/>
        </w:rPr>
        <w:drawing>
          <wp:inline distT="0" distB="0" distL="0" distR="0" wp14:anchorId="1CB2FD61" wp14:editId="29EC8D0D">
            <wp:extent cx="4600575" cy="4619625"/>
            <wp:effectExtent l="0" t="0" r="9525" b="9525"/>
            <wp:docPr id="3" name="Рисунок 4" descr="Энергосберегающие системы. Рекомендаци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Энергосберегающие системы. Рекомендации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0575" cy="461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4BAE" w:rsidRPr="00004BAE" w:rsidRDefault="00004BAE" w:rsidP="00004BAE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04BAE">
        <w:rPr>
          <w:rFonts w:ascii="Times New Roman" w:hAnsi="Times New Roman"/>
          <w:sz w:val="28"/>
          <w:szCs w:val="28"/>
        </w:rPr>
        <w:t>Рис.</w:t>
      </w:r>
      <w:r>
        <w:rPr>
          <w:rFonts w:ascii="Times New Roman" w:hAnsi="Times New Roman"/>
          <w:sz w:val="28"/>
          <w:szCs w:val="28"/>
        </w:rPr>
        <w:t>3</w:t>
      </w:r>
      <w:r w:rsidRPr="00004BAE">
        <w:rPr>
          <w:rFonts w:ascii="Times New Roman" w:hAnsi="Times New Roman"/>
          <w:sz w:val="28"/>
          <w:szCs w:val="28"/>
        </w:rPr>
        <w:t>. Пример организации IT сети с тремя вводами (основной, резервный и ДГУ) для питания потребителей первой и второй категорий от секций AV и SV</w:t>
      </w:r>
    </w:p>
    <w:p w:rsidR="00004BAE" w:rsidRPr="00004BAE" w:rsidRDefault="00004BAE" w:rsidP="00004BAE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04BAE">
        <w:rPr>
          <w:rFonts w:ascii="Times New Roman" w:hAnsi="Times New Roman"/>
          <w:sz w:val="28"/>
          <w:szCs w:val="28"/>
        </w:rPr>
        <w:t>АВР для разделительных медицинских трансформаторов подключают на два ввода. Это могут быть две независимые секции ВРУ (если установлено дополнительное резервирование), либо ввод от ВРУ и ввод от ИБП. Практические примеры схем подключения приведены ниже:</w:t>
      </w:r>
    </w:p>
    <w:p w:rsidR="00004BAE" w:rsidRPr="00004BAE" w:rsidRDefault="00004BAE" w:rsidP="00004BAE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04BAE">
        <w:rPr>
          <w:rFonts w:ascii="Times New Roman" w:hAnsi="Times New Roman"/>
          <w:sz w:val="28"/>
          <w:szCs w:val="28"/>
        </w:rPr>
        <w:t> </w:t>
      </w:r>
      <w:r w:rsidRPr="00004BAE">
        <w:rPr>
          <w:rFonts w:ascii="Times New Roman" w:hAnsi="Times New Roman"/>
          <w:sz w:val="28"/>
          <w:szCs w:val="28"/>
        </w:rPr>
        <w:drawing>
          <wp:inline distT="0" distB="0" distL="0" distR="0" wp14:anchorId="19AF43D6" wp14:editId="4FDBE12F">
            <wp:extent cx="4762500" cy="1971675"/>
            <wp:effectExtent l="0" t="0" r="0" b="9525"/>
            <wp:docPr id="4" name="Рисунок 3" descr="Энергосберегающие системы. Рекомендаци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нергосберегающие системы. Рекомендации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4BAE" w:rsidRPr="00004BAE" w:rsidRDefault="00004BAE" w:rsidP="00004BAE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04BAE">
        <w:rPr>
          <w:rFonts w:ascii="Times New Roman" w:hAnsi="Times New Roman"/>
          <w:sz w:val="28"/>
          <w:szCs w:val="28"/>
        </w:rPr>
        <w:t xml:space="preserve">Рис. </w:t>
      </w:r>
      <w:r>
        <w:rPr>
          <w:rFonts w:ascii="Times New Roman" w:hAnsi="Times New Roman"/>
          <w:sz w:val="28"/>
          <w:szCs w:val="28"/>
        </w:rPr>
        <w:t>3</w:t>
      </w:r>
      <w:r w:rsidRPr="00004BAE">
        <w:rPr>
          <w:rFonts w:ascii="Times New Roman" w:hAnsi="Times New Roman"/>
          <w:sz w:val="28"/>
          <w:szCs w:val="28"/>
        </w:rPr>
        <w:t>. Пример организации IT сети с двумя вводами (основной и резервный) для питания трех операционных кабинетов от секций AV и SV</w:t>
      </w:r>
    </w:p>
    <w:p w:rsidR="00004BAE" w:rsidRPr="00004BAE" w:rsidRDefault="00004BAE" w:rsidP="00004BAE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04BAE">
        <w:rPr>
          <w:rFonts w:ascii="Times New Roman" w:hAnsi="Times New Roman"/>
          <w:sz w:val="28"/>
          <w:szCs w:val="28"/>
        </w:rPr>
        <w:lastRenderedPageBreak/>
        <w:t> </w:t>
      </w:r>
      <w:r w:rsidRPr="00004BAE">
        <w:rPr>
          <w:rFonts w:ascii="Times New Roman" w:hAnsi="Times New Roman"/>
          <w:sz w:val="28"/>
          <w:szCs w:val="28"/>
        </w:rPr>
        <w:drawing>
          <wp:inline distT="0" distB="0" distL="0" distR="0" wp14:anchorId="73CA3B29" wp14:editId="64800CCA">
            <wp:extent cx="4686300" cy="2181225"/>
            <wp:effectExtent l="0" t="0" r="0" b="9525"/>
            <wp:docPr id="5" name="Рисунок 2" descr="Энергосберегающие системы. Рекомендаци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Энергосберегающие системы. Рекомендации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218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4BAE" w:rsidRPr="00004BAE" w:rsidRDefault="00004BAE" w:rsidP="00004BAE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04BAE">
        <w:rPr>
          <w:rFonts w:ascii="Times New Roman" w:hAnsi="Times New Roman"/>
          <w:sz w:val="28"/>
          <w:szCs w:val="28"/>
        </w:rPr>
        <w:t xml:space="preserve">Рис. </w:t>
      </w:r>
      <w:r>
        <w:rPr>
          <w:rFonts w:ascii="Times New Roman" w:hAnsi="Times New Roman"/>
          <w:sz w:val="28"/>
          <w:szCs w:val="28"/>
        </w:rPr>
        <w:t>4</w:t>
      </w:r>
      <w:r w:rsidRPr="00004BAE">
        <w:rPr>
          <w:rFonts w:ascii="Times New Roman" w:hAnsi="Times New Roman"/>
          <w:sz w:val="28"/>
          <w:szCs w:val="28"/>
        </w:rPr>
        <w:t>. Пример организации IT сети с двумя вводами (основной и резервный) и ИБП для питания операционного кабинета</w:t>
      </w:r>
    </w:p>
    <w:p w:rsidR="00004BAE" w:rsidRPr="00004BAE" w:rsidRDefault="00004BAE" w:rsidP="00004BAE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04BAE">
        <w:rPr>
          <w:rFonts w:ascii="Times New Roman" w:hAnsi="Times New Roman"/>
          <w:sz w:val="28"/>
          <w:szCs w:val="28"/>
        </w:rPr>
        <w:t>Пример подключения IT системы с ИБП. Потребитель подключается к секции АВР через ИБП. В случае аварии основного и резервного вводов произойдет автоматическое включение источника бесперебойного питания.</w:t>
      </w:r>
    </w:p>
    <w:p w:rsidR="00004BAE" w:rsidRPr="00004BAE" w:rsidRDefault="00004BAE" w:rsidP="00004BAE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04BAE">
        <w:rPr>
          <w:rFonts w:ascii="Times New Roman" w:hAnsi="Times New Roman"/>
          <w:sz w:val="28"/>
          <w:szCs w:val="28"/>
        </w:rPr>
        <w:t> </w:t>
      </w:r>
      <w:r w:rsidRPr="00004BAE">
        <w:rPr>
          <w:rFonts w:ascii="Times New Roman" w:hAnsi="Times New Roman"/>
          <w:sz w:val="28"/>
          <w:szCs w:val="28"/>
        </w:rPr>
        <w:drawing>
          <wp:inline distT="0" distB="0" distL="0" distR="0" wp14:anchorId="304C8C9B" wp14:editId="25CC0974">
            <wp:extent cx="4676775" cy="1400175"/>
            <wp:effectExtent l="0" t="0" r="9525" b="9525"/>
            <wp:docPr id="6" name="Рисунок 1" descr="Энергосберегающие системы. Рекомендаци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Энергосберегающие системы. Рекомендации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775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4BAE" w:rsidRDefault="00004BAE" w:rsidP="00004BAE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Рис. 5</w:t>
      </w:r>
      <w:r w:rsidRPr="00004BAE">
        <w:rPr>
          <w:rFonts w:ascii="Times New Roman" w:hAnsi="Times New Roman"/>
          <w:sz w:val="28"/>
          <w:szCs w:val="28"/>
        </w:rPr>
        <w:t xml:space="preserve">. Пример организации нескольких IT сетей с питанием от трех вводов (основной, резервный и ДГУ) для питания группы потребителей. </w:t>
      </w:r>
    </w:p>
    <w:p w:rsidR="00004BAE" w:rsidRDefault="00004BAE" w:rsidP="00004BAE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004BAE" w:rsidRPr="00004BAE" w:rsidRDefault="00004BAE" w:rsidP="00004BAE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04BAE">
        <w:rPr>
          <w:rFonts w:ascii="Times New Roman" w:hAnsi="Times New Roman"/>
          <w:sz w:val="28"/>
          <w:szCs w:val="28"/>
        </w:rPr>
        <w:t>Генератор управляется АВР, IT системы подключаются к секции AV через источники бесперебойного питания, работающими с «общей нагрузкой»</w:t>
      </w:r>
    </w:p>
    <w:p w:rsidR="00004BAE" w:rsidRPr="00004BAE" w:rsidRDefault="00004BAE" w:rsidP="00004BAE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04BAE">
        <w:rPr>
          <w:rFonts w:ascii="Times New Roman" w:hAnsi="Times New Roman"/>
          <w:sz w:val="28"/>
          <w:szCs w:val="28"/>
        </w:rPr>
        <w:t xml:space="preserve">Использование источника бесперебойного питания не вносит существенных изменений в схему АВР, т.к. при аварии ИБП автоматически «подхватывает» нагрузку. В случае осуществления питания от </w:t>
      </w:r>
      <w:proofErr w:type="spellStart"/>
      <w:r w:rsidRPr="00004BAE">
        <w:rPr>
          <w:rFonts w:ascii="Times New Roman" w:hAnsi="Times New Roman"/>
          <w:sz w:val="28"/>
          <w:szCs w:val="28"/>
        </w:rPr>
        <w:t>бензо</w:t>
      </w:r>
      <w:proofErr w:type="spellEnd"/>
      <w:r w:rsidRPr="00004BAE">
        <w:rPr>
          <w:rFonts w:ascii="Times New Roman" w:hAnsi="Times New Roman"/>
          <w:sz w:val="28"/>
          <w:szCs w:val="28"/>
        </w:rPr>
        <w:t>/дизель-генератора, схема управления АВР должна подавать команду на управления запуском/остановкой ДГУ (команда - замыкание сухого контакта реле), а также производить коммутацию линии ДГУ с учетом времени, необходимого на прогрев двигателя (60 сек). Соответственно усложняются схема и алгоритм работы АВР, либо необходимо размещение отдельной панели автоматики ДГУ. Так же необходимо учитывать, что подключение линии ДГУ без разогрева двигателя на холостых оборотах приведет к его глушению.</w:t>
      </w:r>
    </w:p>
    <w:p w:rsidR="00004BAE" w:rsidRPr="00004BAE" w:rsidRDefault="00004BAE" w:rsidP="00004BAE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04BAE">
        <w:rPr>
          <w:rFonts w:ascii="Times New Roman" w:hAnsi="Times New Roman"/>
          <w:sz w:val="28"/>
          <w:szCs w:val="28"/>
        </w:rPr>
        <w:t xml:space="preserve">Если величина нагрузки превышает мощность ИБП, то следует воспользоваться режимом работы с «общей нагрузкой», доступным всем современным источникам. В этом режиме несколько ИБП работают в параллельно на общего потребителя. Единственной особенностью является </w:t>
      </w:r>
      <w:r w:rsidRPr="00004BAE">
        <w:rPr>
          <w:rFonts w:ascii="Times New Roman" w:hAnsi="Times New Roman"/>
          <w:sz w:val="28"/>
          <w:szCs w:val="28"/>
        </w:rPr>
        <w:lastRenderedPageBreak/>
        <w:t>последовательность включения системы. Сначала на режим последовательно выводятся ИБП, а только затем следует подключение нагрузки.</w:t>
      </w:r>
    </w:p>
    <w:p w:rsidR="00004BAE" w:rsidRPr="00004BAE" w:rsidRDefault="00004BAE" w:rsidP="00004BAE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04BAE">
        <w:rPr>
          <w:rFonts w:ascii="Times New Roman" w:hAnsi="Times New Roman"/>
          <w:sz w:val="28"/>
          <w:szCs w:val="28"/>
        </w:rPr>
        <w:t xml:space="preserve">Если оценивать с точки зрения комплекса организационных мероприятий, то применение для резервирования ИБП - наиболее простое и эффективное решение. Установка и обслуживание ДГУ намного сложнее. Фактически, дизель-генератор перед ИБП имеет единственное (но очень важное) преимущество - большой срок автономии, зависящий только от емкости топливного бака. Современный уровень развития аккумуляторных батарей достичь подобных сроков по разумной цене в приемлемом </w:t>
      </w:r>
      <w:proofErr w:type="spellStart"/>
      <w:r w:rsidRPr="00004BAE">
        <w:rPr>
          <w:rFonts w:ascii="Times New Roman" w:hAnsi="Times New Roman"/>
          <w:sz w:val="28"/>
          <w:szCs w:val="28"/>
        </w:rPr>
        <w:t>массо</w:t>
      </w:r>
      <w:proofErr w:type="spellEnd"/>
      <w:r w:rsidRPr="00004BAE">
        <w:rPr>
          <w:rFonts w:ascii="Times New Roman" w:hAnsi="Times New Roman"/>
          <w:sz w:val="28"/>
          <w:szCs w:val="28"/>
        </w:rPr>
        <w:t>-габарите не позволяет</w:t>
      </w:r>
    </w:p>
    <w:p w:rsidR="00004BAE" w:rsidRPr="00004BAE" w:rsidRDefault="00004BAE" w:rsidP="00004BAE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04BAE">
        <w:rPr>
          <w:rFonts w:ascii="Times New Roman" w:hAnsi="Times New Roman"/>
          <w:sz w:val="28"/>
          <w:szCs w:val="28"/>
        </w:rPr>
        <w:t>Щит распределительный ЭЩР</w:t>
      </w:r>
    </w:p>
    <w:p w:rsidR="00004BAE" w:rsidRPr="00004BAE" w:rsidRDefault="00004BAE" w:rsidP="00004BAE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04BAE">
        <w:rPr>
          <w:rFonts w:ascii="Times New Roman" w:hAnsi="Times New Roman"/>
          <w:sz w:val="28"/>
          <w:szCs w:val="28"/>
        </w:rPr>
        <w:t>Распределительный щит ЭЩР предназначен для приема и распределения электрической энергии напряжением 380 В трехфазного переменного тока частоты 50 Гц и электрической энергии напряжением 220 В однофазного переменного тока частоты 50 Гц в жилых и общественных зданиях. Распределительный щит защищает линии электроснабжения от перегрузок и коротких замыканий, позволяет выполнять оперативные коммутации. Распределительный щит также может быть оборудован защитой от утечек на землю (для этого в нем устанавливают УЗО либо дифференциальные автоматы).</w:t>
      </w:r>
      <w:bookmarkStart w:id="0" w:name="_GoBack"/>
      <w:bookmarkEnd w:id="0"/>
    </w:p>
    <w:sectPr w:rsidR="00004BAE" w:rsidRPr="00004BAE" w:rsidSect="00004BAE">
      <w:pgSz w:w="12240" w:h="15840"/>
      <w:pgMar w:top="1134" w:right="1134" w:bottom="1134" w:left="1701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FB4"/>
    <w:rsid w:val="00004BAE"/>
    <w:rsid w:val="00107F33"/>
    <w:rsid w:val="00360FB4"/>
    <w:rsid w:val="00CF4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D03355-B175-4B2B-83A9-E79CBAB8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4BAE"/>
    <w:pPr>
      <w:spacing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460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1194</Words>
  <Characters>6807</Characters>
  <Application>Microsoft Office Word</Application>
  <DocSecurity>0</DocSecurity>
  <Lines>56</Lines>
  <Paragraphs>15</Paragraphs>
  <ScaleCrop>false</ScaleCrop>
  <Company>SPecialiST RePack</Company>
  <LinksUpToDate>false</LinksUpToDate>
  <CharactersWithSpaces>7986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2023-03-20T04:57:00Z</dcterms:created>
  <dcterms:modified xsi:type="dcterms:W3CDTF">2023-03-20T05:00:00Z</dcterms:modified>
</cp:coreProperties>
</file>